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23D4D">
        <w:tc>
          <w:tcPr>
            <w:tcW w:w="9355" w:type="dxa"/>
            <w:shd w:val="clear" w:color="auto" w:fill="FFFFFF"/>
            <w:vAlign w:val="center"/>
          </w:tcPr>
          <w:p w:rsidR="00723D4D" w:rsidRDefault="008E0A9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Способы оплаты:</w:t>
            </w:r>
          </w:p>
        </w:tc>
      </w:tr>
      <w:tr w:rsidR="00723D4D">
        <w:tc>
          <w:tcPr>
            <w:tcW w:w="9355" w:type="dxa"/>
            <w:shd w:val="clear" w:color="auto" w:fill="FFFFFF"/>
            <w:vAlign w:val="center"/>
          </w:tcPr>
          <w:p w:rsidR="00723D4D" w:rsidRDefault="008E0A9E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Банковской картой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выбора оплаты товара с помощью банковской карты на соответствующей странице необходимо нажать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кнопку  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Оплата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заказа банковской картой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. Оплата происходит через ПАО СБЕРБАНК с использованием банковских карт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следующих платёжных систем:</w:t>
            </w:r>
          </w:p>
          <w:p w:rsidR="00723D4D" w:rsidRDefault="008E0A9E">
            <w:pPr>
              <w:widowControl w:val="0"/>
              <w:numPr>
                <w:ilvl w:val="0"/>
                <w:numId w:val="1"/>
              </w:numPr>
              <w:spacing w:beforeAutospacing="1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МИР (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разместить логотип МИР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);</w:t>
            </w:r>
          </w:p>
          <w:p w:rsidR="00723D4D" w:rsidRDefault="008E0A9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VISA International (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разместить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логотип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 w:eastAsia="ru-RU"/>
              </w:rPr>
              <w:t> VISA International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);</w:t>
            </w:r>
          </w:p>
          <w:p w:rsidR="00723D4D" w:rsidRDefault="008E0A9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Mastercard Worldwide (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разместить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логотип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 w:eastAsia="ru-RU"/>
              </w:rPr>
              <w:t> Mastercard Worldwide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);</w:t>
            </w:r>
          </w:p>
          <w:p w:rsidR="00723D4D" w:rsidRDefault="008E0A9E">
            <w:pPr>
              <w:widowControl w:val="0"/>
              <w:numPr>
                <w:ilvl w:val="0"/>
                <w:numId w:val="1"/>
              </w:numPr>
              <w:spacing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JCB (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разместить логотип JCB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).</w:t>
            </w:r>
          </w:p>
        </w:tc>
      </w:tr>
    </w:tbl>
    <w:p w:rsidR="00723D4D" w:rsidRDefault="008E0A9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F5356">
        <w:rPr>
          <w:rFonts w:eastAsia="Times New Roman" w:cs="Calibri"/>
          <w:b/>
          <w:bCs/>
          <w:color w:val="212121"/>
          <w:sz w:val="24"/>
          <w:szCs w:val="24"/>
          <w:lang w:eastAsia="ru-RU"/>
        </w:rPr>
        <w:t>Описание возврата товара или услуги</w:t>
      </w:r>
    </w:p>
    <w:tbl>
      <w:tblPr>
        <w:tblW w:w="77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9"/>
      </w:tblGrid>
      <w:tr w:rsidR="00723D4D">
        <w:tc>
          <w:tcPr>
            <w:tcW w:w="7769" w:type="dxa"/>
            <w:shd w:val="clear" w:color="auto" w:fill="FFFFFF"/>
            <w:vAlign w:val="center"/>
          </w:tcPr>
          <w:p w:rsidR="00723D4D" w:rsidRDefault="00723D4D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D4D">
        <w:tc>
          <w:tcPr>
            <w:tcW w:w="7769" w:type="dxa"/>
            <w:shd w:val="clear" w:color="auto" w:fill="FFFFFF"/>
            <w:vAlign w:val="center"/>
          </w:tcPr>
          <w:p w:rsidR="00723D4D" w:rsidRDefault="008E0A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6A3E6E" w:rsidRPr="006A3E6E"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ru-RU"/>
              </w:rPr>
              <w:t>приобретени</w:t>
            </w:r>
            <w:r w:rsidR="006A3E6E" w:rsidRPr="006A3E6E"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ru-RU"/>
              </w:rPr>
              <w:t>и</w:t>
            </w:r>
            <w:r w:rsidR="006A3E6E" w:rsidRPr="006A3E6E"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ru-RU"/>
              </w:rPr>
              <w:t xml:space="preserve"> услуги пополнения </w:t>
            </w:r>
            <w:proofErr w:type="spellStart"/>
            <w:r w:rsidR="006A3E6E" w:rsidRPr="006A3E6E"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ru-RU"/>
              </w:rPr>
              <w:t>ski</w:t>
            </w:r>
            <w:proofErr w:type="spellEnd"/>
            <w:r w:rsidR="006A3E6E" w:rsidRPr="006A3E6E"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6A3E6E" w:rsidRPr="006A3E6E"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ru-RU"/>
              </w:rPr>
              <w:t>pass</w:t>
            </w:r>
            <w:proofErr w:type="spellEnd"/>
            <w:r w:rsidR="006A3E6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денежная сумма возврату не подлежит. 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723D4D" w:rsidRDefault="00723D4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23D4D" w:rsidRDefault="008E0A9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212121"/>
          <w:sz w:val="24"/>
          <w:szCs w:val="24"/>
          <w:lang w:eastAsia="ru-RU"/>
        </w:rPr>
        <w:t>Условия доставки товара</w:t>
      </w:r>
    </w:p>
    <w:tbl>
      <w:tblPr>
        <w:tblW w:w="9497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723D4D">
        <w:trPr>
          <w:trHeight w:val="1245"/>
        </w:trPr>
        <w:tc>
          <w:tcPr>
            <w:tcW w:w="9497" w:type="dxa"/>
            <w:shd w:val="clear" w:color="auto" w:fill="FFFFFF"/>
            <w:vAlign w:val="center"/>
          </w:tcPr>
          <w:p w:rsidR="00723D4D" w:rsidRDefault="008E0A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После пополнения карты 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en-US" w:eastAsia="ru-RU"/>
              </w:rPr>
              <w:t>ski</w:t>
            </w:r>
            <w:r w:rsidRPr="006A3E6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en-US" w:eastAsia="ru-RU"/>
              </w:rPr>
              <w:t>pass</w:t>
            </w:r>
            <w:r w:rsidRPr="006A3E6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, услугу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с нее можно списывать на территории комплекса </w:t>
            </w:r>
          </w:p>
          <w:p w:rsidR="00723D4D" w:rsidRDefault="008E0A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в соответствии с действующими тарифами </w:t>
            </w:r>
            <w:r w:rsidRPr="008E0A9E"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ru-RU"/>
              </w:rPr>
              <w:t>Баз</w:t>
            </w:r>
            <w:r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ru-RU"/>
              </w:rPr>
              <w:t>ы</w:t>
            </w:r>
            <w:r w:rsidRPr="008E0A9E"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ru-RU"/>
              </w:rPr>
              <w:t xml:space="preserve"> отдыха Кулига парк</w:t>
            </w:r>
            <w:r w:rsidRPr="008E0A9E">
              <w:rPr>
                <w:rFonts w:eastAsia="Times New Roman" w:cs="Calibri"/>
                <w:color w:val="000000"/>
                <w:sz w:val="24"/>
                <w:szCs w:val="24"/>
                <w:highlight w:val="yellow"/>
                <w:lang w:eastAsia="ru-RU"/>
              </w:rPr>
              <w:t>.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D4D" w:rsidRDefault="008E0A9E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Списание услуг с карты 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en-US" w:eastAsia="ru-RU"/>
              </w:rPr>
              <w:t>ski</w:t>
            </w:r>
            <w:r w:rsidRPr="006A3E6E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en-US" w:eastAsia="ru-RU"/>
              </w:rPr>
              <w:t>pass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возможно на любом турн</w:t>
            </w: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икете, оборудованном автоматическим считывателем для этих карт.</w:t>
            </w:r>
          </w:p>
        </w:tc>
      </w:tr>
    </w:tbl>
    <w:p w:rsidR="00723D4D" w:rsidRDefault="00723D4D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ru-RU"/>
        </w:rPr>
      </w:pPr>
    </w:p>
    <w:p w:rsidR="00723D4D" w:rsidRDefault="008E0A9E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eastAsia="Times New Roman" w:cs="Calibri"/>
          <w:b/>
          <w:bCs/>
          <w:color w:val="212121"/>
          <w:sz w:val="24"/>
          <w:szCs w:val="24"/>
          <w:lang w:eastAsia="ru-RU"/>
        </w:rPr>
        <w:t>Описание процесса передачи данных</w:t>
      </w:r>
    </w:p>
    <w:tbl>
      <w:tblPr>
        <w:tblW w:w="9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23D4D">
        <w:tc>
          <w:tcPr>
            <w:tcW w:w="9355" w:type="dxa"/>
            <w:shd w:val="clear" w:color="auto" w:fill="FFFFFF"/>
            <w:vAlign w:val="center"/>
          </w:tcPr>
          <w:p w:rsidR="00723D4D" w:rsidRDefault="008E0A9E">
            <w:pPr>
              <w:widowControl w:val="0"/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Для оплаты (ввода реквизитов Вашей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оведения интернет-платежей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Verified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By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SecureCode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, MIR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Accept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, J-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Secure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для проведения платежа также может потребоваться ввод специального пароля. </w:t>
            </w:r>
          </w:p>
        </w:tc>
      </w:tr>
    </w:tbl>
    <w:p w:rsidR="00723D4D" w:rsidRDefault="00723D4D"/>
    <w:sectPr w:rsidR="00723D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0266"/>
    <w:multiLevelType w:val="multilevel"/>
    <w:tmpl w:val="6F8261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742AFB"/>
    <w:multiLevelType w:val="multilevel"/>
    <w:tmpl w:val="2862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4D"/>
    <w:rsid w:val="006A3E6E"/>
    <w:rsid w:val="00723D4D"/>
    <w:rsid w:val="008E0A9E"/>
    <w:rsid w:val="00AF5356"/>
    <w:rsid w:val="00E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1700"/>
  <w15:docId w15:val="{BCB789E7-9349-408B-BEC1-CDB1C75C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Анастасия Чернопятова</cp:lastModifiedBy>
  <cp:revision>12</cp:revision>
  <dcterms:created xsi:type="dcterms:W3CDTF">2021-10-27T10:53:00Z</dcterms:created>
  <dcterms:modified xsi:type="dcterms:W3CDTF">2021-12-29T12:09:00Z</dcterms:modified>
  <dc:language>ru-RU</dc:language>
</cp:coreProperties>
</file>